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header1.xml" ContentType="application/vnd.openxmlformats-officedocument.wordprocessingml.header+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word/header2.xml" ContentType="application/vnd.openxmlformats-officedocument.wordprocessingml.header+xml"/>
  <Override PartName="/word/footer2.xml" ContentType="application/vnd.openxmlformats-officedocument.wordprocessingml.footer+xml"/>
  <Override PartName="/word/styles.xml" ContentType="application/vnd.openxmlformats-officedocument.wordprocessingml.styl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style0"/>
      </w:pPr>
      <w:r>
        <w:rPr/>
        <w:t xml:space="preserve">Information obtained from Pub 17 2016, Pub 970 2016, and Instructions for Form 8863 and 8615. </w:t>
      </w:r>
    </w:p>
    <w:p>
      <w:pPr>
        <w:pStyle w:val="style0"/>
      </w:pPr>
      <w:r>
        <w:rPr>
          <w:b/>
          <w:u w:val="single"/>
        </w:rPr>
        <w:t>1098-T And Issues And Inconsistencies in Reporting</w:t>
      </w:r>
    </w:p>
    <w:p>
      <w:pPr>
        <w:pStyle w:val="style0"/>
      </w:pPr>
      <w:r>
        <w:rPr/>
        <w:t>Educational institutions are required to report qualified tuition and related expenses by filing an annual tuition statement with the IRS, Form 1098-T. The amount of scholarships and grants paid to a student must also be included on Form 1098-T.</w:t>
      </w:r>
    </w:p>
    <w:p>
      <w:pPr>
        <w:pStyle w:val="style0"/>
      </w:pPr>
      <w:r>
        <w:rPr/>
        <w:t>The educational institution must be accredited in order to claim an educational tax benefit and, hence, unaccredited institutions do not issue a 1098-T.  Sometimes an accredited institution fails to issue a 1098-T to the student when one should have been issued but more often the student is attending an unaccredited institution.  Accreditation of the school may be checked at http://ope.ed.gov/accreditation/Search.aspx</w:t>
      </w:r>
    </w:p>
    <w:p>
      <w:pPr>
        <w:pStyle w:val="style0"/>
        <w:spacing w:after="200" w:before="240"/>
      </w:pPr>
      <w:r>
        <w:rPr/>
        <w:t>Two problems exist with the information reported on the Form 1098-T. First, the numbers for tuition and related expenses and for scholarships and grants are often not the amounts that should actually be included on a tax return, even when the forms are prepared in accordance with IRS instructions. For example most schools report the amount billed for the tax year and correctly include the amount billed for the following spring semester on the 1098-T, but this amount is not a qualified educational expense unless the student paid before December 31</w:t>
      </w:r>
      <w:r>
        <w:rPr>
          <w:vertAlign w:val="superscript"/>
        </w:rPr>
        <w:t>st</w:t>
      </w:r>
      <w:r>
        <w:rPr/>
        <w:t>. Second, many colleges and universities prepare 1098-Ts incorrectly and report tuition and related expenses inconsistently.  For example schools usually only report scholarships granted or administered by them.</w:t>
      </w:r>
    </w:p>
    <w:p>
      <w:pPr>
        <w:pStyle w:val="style0"/>
      </w:pPr>
      <w:r>
        <w:rPr/>
        <w:t xml:space="preserve">These issues make it difficult to properly determine the amount of scholarships and grants that is taxable and the amount of qualified educational expenses to which a taxpayer is entitled.  </w:t>
      </w:r>
    </w:p>
    <w:p>
      <w:pPr>
        <w:pStyle w:val="style0"/>
      </w:pPr>
      <w:r>
        <w:rPr/>
        <w:t>Schools are in the process of moving from reporting amount of qualified educational expenses billed to amount paid which should lead to a much more accurate 1098-T. However this practice will not be required of schools until tax year 2018 and most schools continue to use amount billed.</w:t>
      </w:r>
    </w:p>
    <w:p>
      <w:pPr>
        <w:pStyle w:val="style0"/>
      </w:pPr>
      <w:r>
        <w:rPr>
          <w:b/>
          <w:u w:val="single"/>
        </w:rPr>
        <w:t>Part I Qualified Educational Expenses (QEE)</w:t>
      </w:r>
    </w:p>
    <w:p>
      <w:pPr>
        <w:pStyle w:val="style0"/>
      </w:pPr>
      <w:r>
        <w:rPr/>
        <w:t xml:space="preserve">First make a good faith effort to accurately report QEE.  If the client confirms the figures on the 1098-T are probably correct, it is allowable to use that.  However always strongly encourage the client to go online or visit the bursar’s office and obtain the actual paid billing, not an additional copy of the 1098-T or information gleaned from it, especially if the client seems at all uncertain or unreliable as to his educational expenses.  Tuition and most mandatory fees as well as nonrefunded expenses due to withdrawal from classes are QEE for all credits. Fees for medical expenses, health insurance, room, board, and transportation do not qualify. Amount and type of scholarship money should also be confirmed as well as the terms of the scholarship if scholarship funds are going to be converted to scholarship income.   </w:t>
      </w:r>
    </w:p>
    <w:p>
      <w:pPr>
        <w:pStyle w:val="style0"/>
      </w:pPr>
      <w:r>
        <w:rPr/>
        <w:t xml:space="preserve">Maybe half of 1098-Ts are inaccurate in one fashion or another for determining QEE.  If the client is unable or unwilling to obtain the actual paid billing, use what modifications the client provides within ethical limits or their sentiment that the figures reported on the 1098-T ring true, often with the addition for the American Opportunity Credit of required books and supplies.  Books and supplies are qualified educational expenses for LLC and Tuition and Fees only if they </w:t>
      </w:r>
      <w:r>
        <w:rPr>
          <w:u w:val="single"/>
        </w:rPr>
        <w:t>must</w:t>
      </w:r>
      <w:r>
        <w:rPr/>
        <w:t xml:space="preserve"> be purchased only from the school, making them essentially an additional mandatory fee.  </w:t>
      </w:r>
    </w:p>
    <w:p>
      <w:pPr>
        <w:pStyle w:val="style0"/>
        <w:spacing w:after="200" w:before="240"/>
      </w:pPr>
      <w:r>
        <w:rPr/>
        <w:t xml:space="preserve">Use this information to compute all qualified educational expenses for an educational credit paid in that tax year for that tax year.  Educational expenses for the next tax year spring semester paid for in the present tax year are also eligible.  However, students rarely pay these expenses by the December 31st deadline.  Educational expenses paid for in the present tax year for a previous tax year are not.  The criterion is paid not just billed.  This is why it is necessary to have the actual paid billing to accurately compute QEE. Qualified expenses paid with loans are considered paid by the borrower and are qualifying expenses.   Qualified expenses paid by others, such as relatives, are still regarded as paid by the taxpayer claiming the credit.  </w:t>
      </w:r>
      <w:r>
        <w:rPr>
          <w:shd w:fill="FFFF00" w:val="clear"/>
        </w:rPr>
        <w:t>Qualified expenses paid by tax free assistance such as an educational IRA or 529 Plan cannot be used to also claim educational benefits.</w:t>
      </w:r>
      <w:r>
        <w:rPr/>
        <w:t xml:space="preserve"> </w:t>
      </w:r>
      <w:r>
        <w:rPr>
          <w:shd w:fill="FFFF00" w:val="clear"/>
        </w:rPr>
        <w:t xml:space="preserve">However funds from 529 plans, as with nonrestricted scholarship funds, can be elected to have been spent on nonqualified expenses to maximize educational tax benefits such as AOC. </w:t>
      </w:r>
    </w:p>
    <w:p>
      <w:pPr>
        <w:pStyle w:val="style0"/>
        <w:spacing w:after="200" w:before="240"/>
      </w:pPr>
      <w:r>
        <w:rPr/>
        <w:t xml:space="preserve">The 1098-T also reports refunds and other adjustments from the school to students of payments for qualified tuition and related expenses made during the year that were reported on a Form 1098-T in a prior year. This has been ruled out of scope for VITA and CEP tax preparation. This adjustment may have no effect on the amount of educational benefit claimed or taxes paid, especially if the prior year computation of the educational credit was based on the actual paid billing rather than the 1098-T.  </w:t>
      </w:r>
      <w:r>
        <w:rPr>
          <w:sz w:val="20"/>
          <w:szCs w:val="20"/>
        </w:rPr>
        <w:t>However</w:t>
      </w:r>
      <w:r>
        <w:rPr/>
        <w:t xml:space="preserve"> </w:t>
      </w:r>
      <w:r>
        <w:rPr>
          <w:shd w:fill="FFFF00" w:val="clear"/>
        </w:rPr>
        <w:t>if the adjustment reduces a tuition-and-fees deduction claimed in the prior year, an amended return may be needed. If it reduces the amount of education credit that should have been claimed in the prior year for AOC or LLC, the difference can be added to the current year’s tax liability.  Education credit recapture is added to line 44 with ecr (education credit recapture) printed next to the entry.</w:t>
      </w:r>
      <w:r>
        <w:rPr/>
        <w:t xml:space="preserve">   A third choice is to explore if it is advantageous to simply increase scholarship income on the student’s prior return and maintain all or most of the previously claimed credit.  The effect of penalties on any additional income tax must be considered if pursuing this option and an amended return of the prior year would usually be required.</w:t>
      </w:r>
    </w:p>
    <w:p>
      <w:pPr>
        <w:pStyle w:val="style0"/>
        <w:spacing w:after="200" w:before="240"/>
      </w:pPr>
      <w:r>
        <w:rPr>
          <w:b/>
          <w:u w:val="single"/>
        </w:rPr>
        <w:t>Part II Scholarship Income</w:t>
      </w:r>
    </w:p>
    <w:p>
      <w:pPr>
        <w:pStyle w:val="style0"/>
      </w:pPr>
      <w:r>
        <w:rPr/>
        <w:t xml:space="preserve">Scholarships and </w:t>
      </w:r>
      <w:r>
        <w:rPr>
          <w:sz w:val="20"/>
          <w:szCs w:val="20"/>
        </w:rPr>
        <w:t>grants</w:t>
      </w:r>
      <w:r>
        <w:rPr/>
        <w:t xml:space="preserve"> can be excluded from gross income to the extent they are used for qualified tuition and related expenses, including required books, supplies, and equipment, lab fees, etc.,</w:t>
      </w:r>
      <w:r>
        <w:rPr>
          <w:sz w:val="24"/>
          <w:szCs w:val="24"/>
        </w:rPr>
        <w:t xml:space="preserve"> unless</w:t>
      </w:r>
      <w:r>
        <w:rPr/>
        <w:t xml:space="preserve"> any of the following criteria are met</w:t>
      </w:r>
      <w:r>
        <w:rPr>
          <w:u w:val="none"/>
        </w:rPr>
        <w:t>:</w:t>
      </w:r>
    </w:p>
    <w:p>
      <w:pPr>
        <w:pStyle w:val="style0"/>
        <w:numPr>
          <w:ilvl w:val="0"/>
          <w:numId w:val="3"/>
        </w:numPr>
      </w:pPr>
      <w:r>
        <w:rPr/>
        <w:t>the student is not a degree/certificate candidate;</w:t>
      </w:r>
    </w:p>
    <w:p>
      <w:pPr>
        <w:pStyle w:val="style0"/>
        <w:numPr>
          <w:ilvl w:val="0"/>
          <w:numId w:val="3"/>
        </w:numPr>
      </w:pPr>
      <w:r>
        <w:rPr/>
        <w:t>payment of the scholarship is for services rendered by the student (TA, GA, etc.); or</w:t>
      </w:r>
    </w:p>
    <w:p>
      <w:pPr>
        <w:pStyle w:val="style0"/>
        <w:numPr>
          <w:ilvl w:val="0"/>
          <w:numId w:val="3"/>
        </w:numPr>
      </w:pPr>
      <w:r>
        <w:rPr/>
        <w:t>payment is used for board, room, living expenses, or expenses other than qualified tuition, fees, and  other course requirements.</w:t>
      </w:r>
    </w:p>
    <w:p>
      <w:pPr>
        <w:pStyle w:val="style0"/>
      </w:pPr>
      <w:r>
        <w:rPr/>
        <w:t>For scholarship funds, the definition of a “candidate for a degree” as defined by the IRS is broad. It includes, of course those individuals who are actually enrolled in a degree-seeking program, but also covers enrolled students who are not actively seeking a degree, as long as the educational institution that the person attends offers degrees and is properly accredited. For example, an individual who receives a one year fellowship to study at ASU is a “candidate for a degree” for purposes of Section 117 even though the individual will not receive a degree at the end of the fellowship because ASU is an accredited educational institution that offers degrees.</w:t>
      </w:r>
    </w:p>
    <w:p>
      <w:pPr>
        <w:pStyle w:val="style0"/>
      </w:pPr>
      <w:r>
        <w:rPr/>
        <w:t xml:space="preserve">While it is permissible to subtract QEE from scholarship amounts to reduce or eliminate scholarship income, this is often not the best choice for maximizing tax benefits. In many cases it is possible to minimize tax liability by including nonrestricted scholarships in income.  By regarding some or all of the scholarship/grant money received as scholarship income, it is possible to increase reported QEE to maximize the tax benefit of the educational credit.  The scholarship/grant (e.g., Pell Grant) must be one that may by its terms be applied to other expenses (e.g., room and board and other daily living expenses) rather than one restricted to specific qualified education expenses (e.g., tuition, books, etc.), such as a MAP Grant or UIC Book Grant. </w:t>
      </w:r>
      <w:r>
        <w:rPr>
          <w:shd w:fill="FFFF00" w:val="clear"/>
        </w:rPr>
        <w:t>Enter scholarship income to the left of Line 7 on Form 1040.</w:t>
      </w:r>
    </w:p>
    <w:p>
      <w:pPr>
        <w:pStyle w:val="style0"/>
      </w:pPr>
      <w:r>
        <w:rPr/>
        <w:t xml:space="preserve">Scholarship income is subtracted from income when completing a FAFSA application, presently located in Question 44 Line D. Clients often overlook this subtraction, potentially reducing the amount of financial aid they receive.  Always stress with clients the importance of subtracting any scholarship income when completing the FAFSA form. Auto fill from a return already filed with the IRS automatically does this.  </w:t>
      </w:r>
    </w:p>
    <w:p>
      <w:pPr>
        <w:pStyle w:val="style0"/>
      </w:pPr>
      <w:r>
        <w:rPr/>
        <w:t xml:space="preserve">Consult </w:t>
        <w:t>Fact Sheet:  Interaction of Pell Grants and Tax Credits:  Students May Be Foregoing Tax Benefits By Mistake issued by the Department of the Treasury in conjunction with the Department of Education at  http:   www.irs.gov/pub/irs-utl/Pell%20AOTC%204%20pager.pdf  for a clear and persuasive explanation.  It also provides a few examples as to computation and is well worth the read. An excerpt:</w:t>
      </w:r>
    </w:p>
    <w:p>
      <w:pPr>
        <w:pStyle w:val="style0"/>
      </w:pPr>
      <w:r>
        <w:rPr/>
        <w:t>“</w:t>
      </w:r>
      <w:r>
        <w:rPr/>
        <w:t>Current law generally allows students to decide whether to treat their Pell Grants as paying for QTRE or for living expenses. Notably, a student may choose to treat her Pell Grant as paying for living expenses even if the institution applies the Pell Grant against tuition and fees. A student may allocate Pell Grant funds toward living expenses up to the amount of her actual living expenses, which may differ from the living expenses estimated by her school in computing her official cost of attendance under student aid rules. The federal tax requirements applicable to this allocation decision are that 1) any scholarship (including a Pell Grant) be used in a manner consistent with its terms, 2) any scholarship that is allocated to QTRE be subtracted from QTRE for purposes of the AOTC (or LLC), and 3) any scholarship that is allocated to living expenses be included in taxable income on the student’s (and not the parent’s) federal income tax return.”</w:t>
      </w:r>
    </w:p>
    <w:p>
      <w:pPr>
        <w:pStyle w:val="style0"/>
      </w:pPr>
      <w:r>
        <w:rPr>
          <w:b/>
          <w:u w:val="single"/>
        </w:rPr>
        <w:t>529 Plans</w:t>
      </w:r>
    </w:p>
    <w:p>
      <w:pPr>
        <w:pStyle w:val="style0"/>
      </w:pPr>
      <w:r>
        <w:rPr/>
        <w:t>In addition to nonrestricted scholarships, it is also allowable to convert 529 funds spent on qualified educational expenses into 529 funds spent on nonqualified expenses in order to maximize AOC or LLC educational benefits. This is almost always more advantageous for the taxpayer than converting scholarship funds. While taxes must be paid on the earnings portion of the disbursement, the penalty is waived for any converted funds, that is when qualified educational expenses were used to claim AOC or LLC instead of as a 529 Plan expenditure, the amount claimed is exempt from penalty but not income tax.</w:t>
      </w:r>
    </w:p>
    <w:p>
      <w:pPr>
        <w:pStyle w:val="style0"/>
      </w:pPr>
      <w:r>
        <w:rPr/>
        <w:t xml:space="preserve">Room and board is a qualified educational expense for 529 plans and can usually be obtained from the school website under Cost of Attendance. When students live at home or with a relative, a lesser room and board is credited for Cost of Attendance and can usually only be obtained by calling the financial office of the school. </w:t>
      </w:r>
    </w:p>
    <w:p>
      <w:pPr>
        <w:pStyle w:val="style0"/>
      </w:pPr>
      <w:r>
        <w:rPr/>
        <w:t xml:space="preserve">Computers, internet connections, educational software, and other technological expenses are usually qualified educational expenses for 529 Plans. </w:t>
      </w:r>
    </w:p>
    <w:p>
      <w:pPr>
        <w:pStyle w:val="style0"/>
      </w:pPr>
      <w:r>
        <w:rPr>
          <w:b/>
          <w:u w:val="single"/>
        </w:rPr>
      </w:r>
    </w:p>
    <w:p>
      <w:pPr>
        <w:pStyle w:val="style0"/>
      </w:pPr>
      <w:r>
        <w:rPr>
          <w:b/>
          <w:u w:val="single"/>
        </w:rPr>
        <w:t>Dependency and Education Credits</w:t>
      </w:r>
    </w:p>
    <w:p>
      <w:pPr>
        <w:pStyle w:val="style0"/>
      </w:pPr>
      <w:r>
        <w:rPr/>
        <w:t>Dependency rules are different for qualifying child than for qualifying relative. For qualifying relative, dependency is determined by whether another taxpayer or group of taxpayers provided more than half of the dependent's support. Nontaxable income (e.g., such as social security benefits, etc.) is counted as support provided by the dependent, as well as any scholarship funds if the dependency claimant is other than a parent. Who is entitled to claim is primarily driven by percentage of contribution to support and agreement. Crucially, scholarships are generally counted as support provided by the potential dependent.</w:t>
      </w:r>
    </w:p>
    <w:p>
      <w:pPr>
        <w:pStyle w:val="style0"/>
      </w:pPr>
      <w:r>
        <w:rPr/>
        <w:t>Under qualifying child rules, dependency is determined by whether the qualifying child provided more than half of his support. Only social security survivor benefits count toward this support. SSI, ADC, and other government benefits are not included. Crucially, scholarships and scholarship income are not included as support. Who is entitled to claim is determined by a complex set of rules primarily based on relationship, residency, AGI, etc. rather than amount of support provided.</w:t>
      </w:r>
    </w:p>
    <w:p>
      <w:pPr>
        <w:pStyle w:val="style0"/>
      </w:pPr>
      <w:r>
        <w:rPr/>
        <w:t xml:space="preserve">Many preparers falsely believe that the contribution of a qualifying child/student to household expenses solely or largely determines self support.  Support expenses actually consist of all that was spent by the qualifying child or others on the qualifying child for the tax year, including but not limited to prorated household expenses. See support test worksheet for detail, but it includes essentially all that was spent on the qualifying child/student, from mani-pedis to pizzas, in addition to a prorated share of room and board. So it is more than possible for a child or full time student to not contribute to household expenses and still be contributing more than half of his total support. </w:t>
      </w:r>
    </w:p>
    <w:p>
      <w:pPr>
        <w:pStyle w:val="style0"/>
      </w:pPr>
      <w:r>
        <w:rPr/>
        <w:t xml:space="preserve">When a qualifying child contributes more than half of his support and files single with the personal exemption, the parents can still claim him for EIC because there is no support requirement for EIC. The definition and rules for qualifying child are different for EIC than other qualifying child tax benefits in that there is no support test. The child meets the standards for qualifying child for EIC but not the standards for qualifying child (i.e., the addition of support) for additional tax benefits such as dependency, child tax credit, dependent care, etc. </w:t>
      </w:r>
    </w:p>
    <w:p>
      <w:pPr>
        <w:pStyle w:val="style0"/>
      </w:pPr>
      <w:r>
        <w:rPr/>
        <w:t>If the student lives at home the residency test for EIC is obviously met.  It seems reasonable to treat most students who live on or off campus as having a temporary absence from their parent(s)' home and hence meeting the residency test. However, those who sign a 12 month lease and take other actions that suggest a permanent home should be regarded as not meeting the residency test and not eligible to be claimed for EIC.</w:t>
      </w:r>
    </w:p>
    <w:p>
      <w:pPr>
        <w:pStyle w:val="style0"/>
      </w:pPr>
      <w:r>
        <w:rPr/>
        <w:t xml:space="preserve">Generally the taxpayer who claims the personal or dependency exemption takes the education credit. However, if the parent declines the dependency exemption, the child can then claim the nonrefundable educational credit but not the dependency exemption.  </w:t>
      </w:r>
    </w:p>
    <w:p>
      <w:pPr>
        <w:pStyle w:val="style0"/>
      </w:pPr>
      <w:r>
        <w:rPr/>
        <w:t xml:space="preserve">Taxpayers under age 24 can claim a personal exemption and then claim a nonrefundable education credit. However, they can claim the refundable portion of the credit only if certain conditions are met. The instructions for Form 8863 can be confusing.  </w:t>
      </w:r>
    </w:p>
    <w:p>
      <w:pPr>
        <w:pStyle w:val="style0"/>
      </w:pPr>
      <w:r>
        <w:rPr/>
        <w:t>This is a decision tree (note question 5 and watch the tricky negative) from the IRS to clarify who can claim the AOC refundable credit:</w:t>
      </w:r>
    </w:p>
    <w:p>
      <w:pPr>
        <w:pStyle w:val="style0"/>
        <w:shd w:fill="FFFFFF" w:val="clear"/>
        <w:spacing w:after="0" w:before="0" w:line="168" w:lineRule="atLeast"/>
      </w:pPr>
      <w:r>
        <w:rPr>
          <w:rFonts w:ascii="Arial" w:cs="Arial" w:hAnsi="Arial"/>
          <w:b/>
          <w:bCs/>
          <w:sz w:val="20"/>
          <w:szCs w:val="20"/>
        </w:rPr>
        <w:t>You can answer the following questions to determine whether you qualify for a refundable American opportunity credit.</w:t>
      </w:r>
    </w:p>
    <w:p>
      <w:pPr>
        <w:pStyle w:val="style0"/>
        <w:shd w:fill="FFFFFF" w:val="clear"/>
        <w:spacing w:after="0" w:before="0" w:line="168" w:lineRule="atLeast"/>
      </w:pPr>
      <w:r>
        <w:rPr>
          <w:rFonts w:ascii="Arial" w:cs="Arial" w:hAnsi="Arial"/>
          <w:sz w:val="14"/>
          <w:szCs w:val="14"/>
        </w:rPr>
      </w:r>
    </w:p>
    <w:p>
      <w:pPr>
        <w:pStyle w:val="style0"/>
        <w:numPr>
          <w:ilvl w:val="0"/>
          <w:numId w:val="2"/>
        </w:numPr>
        <w:shd w:fill="FFFFFF" w:val="clear"/>
        <w:spacing w:after="0" w:before="0" w:line="168" w:lineRule="atLeast"/>
      </w:pPr>
      <w:r>
        <w:rPr>
          <w:rFonts w:ascii="Arial" w:cs="Arial" w:hAnsi="Arial"/>
          <w:sz w:val="14"/>
          <w:szCs w:val="14"/>
        </w:rPr>
        <w:t>Were you under age 24 at the end of 2014?</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6446"/>
      </w:tblGrid>
      <w:tr>
        <w:trPr>
          <w:cantSplit w:val="false"/>
        </w:trPr>
        <w:tc>
          <w:tcPr>
            <w:tcW w:type="dxa" w:w="6446"/>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no, stop here; you </w:t>
            </w:r>
            <w:r>
              <w:rPr>
                <w:rFonts w:ascii="Times New Roman" w:hAnsi="Times New Roman"/>
                <w:b/>
                <w:bCs/>
                <w:sz w:val="14"/>
              </w:rPr>
              <w:t>do</w:t>
            </w:r>
            <w:r>
              <w:rPr>
                <w:rFonts w:ascii="Times New Roman" w:hAnsi="Times New Roman"/>
                <w:sz w:val="14"/>
                <w:szCs w:val="14"/>
              </w:rPr>
              <w:t> qualify to claim part of the allowable American opportunity credit as a refundable credit.</w:t>
            </w:r>
          </w:p>
        </w:tc>
      </w:tr>
      <w:tr>
        <w:trPr>
          <w:cantSplit w:val="false"/>
        </w:trPr>
        <w:tc>
          <w:tcPr>
            <w:tcW w:type="dxa" w:w="6446"/>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yes, go to question 2.</w:t>
            </w:r>
          </w:p>
        </w:tc>
      </w:tr>
    </w:tbl>
    <w:p>
      <w:pPr>
        <w:pStyle w:val="style0"/>
        <w:numPr>
          <w:ilvl w:val="0"/>
          <w:numId w:val="2"/>
        </w:numPr>
        <w:shd w:fill="FFFFFF" w:val="clear"/>
        <w:spacing w:after="0" w:before="0" w:line="168" w:lineRule="atLeast"/>
      </w:pPr>
      <w:r>
        <w:rPr>
          <w:rFonts w:ascii="Arial" w:cs="Arial" w:hAnsi="Arial"/>
          <w:sz w:val="14"/>
          <w:szCs w:val="14"/>
        </w:rPr>
        <w:t>Were you over age 18 at the end of 2014?</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1439"/>
      </w:tblGrid>
      <w:tr>
        <w:trPr>
          <w:cantSplit w:val="false"/>
        </w:trPr>
        <w:tc>
          <w:tcPr>
            <w:tcW w:type="dxa" w:w="1439"/>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yes, go to question 3.</w:t>
            </w:r>
          </w:p>
        </w:tc>
      </w:tr>
      <w:tr>
        <w:trPr>
          <w:cantSplit w:val="false"/>
        </w:trPr>
        <w:tc>
          <w:tcPr>
            <w:tcW w:type="dxa" w:w="1439"/>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no, go to question 4.</w:t>
            </w:r>
          </w:p>
        </w:tc>
      </w:tr>
    </w:tbl>
    <w:p>
      <w:pPr>
        <w:pStyle w:val="style0"/>
        <w:numPr>
          <w:ilvl w:val="0"/>
          <w:numId w:val="2"/>
        </w:numPr>
        <w:shd w:fill="FFFFFF" w:val="clear"/>
        <w:spacing w:after="0" w:before="0" w:line="168" w:lineRule="atLeast"/>
      </w:pPr>
      <w:r>
        <w:rPr>
          <w:rFonts w:ascii="Arial" w:cs="Arial" w:hAnsi="Arial"/>
          <w:sz w:val="14"/>
          <w:szCs w:val="14"/>
        </w:rPr>
        <w:t>Were you a full-time student (defined later) for 2014?</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6531"/>
      </w:tblGrid>
      <w:tr>
        <w:trPr>
          <w:cantSplit w:val="false"/>
        </w:trPr>
        <w:tc>
          <w:tcPr>
            <w:tcW w:type="dxa" w:w="6531"/>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no, stop here; you </w:t>
            </w:r>
            <w:r>
              <w:rPr>
                <w:rFonts w:ascii="Times New Roman" w:hAnsi="Times New Roman"/>
                <w:b/>
                <w:bCs/>
                <w:sz w:val="14"/>
              </w:rPr>
              <w:t>do</w:t>
            </w:r>
            <w:r>
              <w:rPr>
                <w:rFonts w:ascii="Times New Roman" w:hAnsi="Times New Roman"/>
                <w:sz w:val="14"/>
                <w:szCs w:val="14"/>
              </w:rPr>
              <w:t> qualify to claim part of your allowable American opportunity credit as a refundable credit.</w:t>
            </w:r>
          </w:p>
        </w:tc>
      </w:tr>
      <w:tr>
        <w:trPr>
          <w:cantSplit w:val="false"/>
        </w:trPr>
        <w:tc>
          <w:tcPr>
            <w:tcW w:type="dxa" w:w="6531"/>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yes, go to question 5.</w:t>
            </w:r>
          </w:p>
        </w:tc>
      </w:tr>
    </w:tbl>
    <w:p>
      <w:pPr>
        <w:pStyle w:val="style0"/>
        <w:numPr>
          <w:ilvl w:val="0"/>
          <w:numId w:val="2"/>
        </w:numPr>
        <w:shd w:fill="FFFFFF" w:val="clear"/>
        <w:spacing w:after="0" w:before="0" w:line="168" w:lineRule="atLeast"/>
      </w:pPr>
      <w:r>
        <w:rPr>
          <w:rFonts w:ascii="Arial" w:cs="Arial" w:hAnsi="Arial"/>
          <w:sz w:val="14"/>
          <w:szCs w:val="14"/>
        </w:rPr>
        <w:t>Were you age 18 at the end of 2014?</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1439"/>
      </w:tblGrid>
      <w:tr>
        <w:trPr>
          <w:cantSplit w:val="false"/>
        </w:trPr>
        <w:tc>
          <w:tcPr>
            <w:tcW w:type="dxa" w:w="1439"/>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yes, go to question 5.</w:t>
            </w:r>
          </w:p>
        </w:tc>
      </w:tr>
      <w:tr>
        <w:trPr>
          <w:cantSplit w:val="false"/>
        </w:trPr>
        <w:tc>
          <w:tcPr>
            <w:tcW w:type="dxa" w:w="1439"/>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no, go to question 6.</w:t>
            </w:r>
          </w:p>
        </w:tc>
      </w:tr>
    </w:tbl>
    <w:p>
      <w:pPr>
        <w:pStyle w:val="style0"/>
        <w:numPr>
          <w:ilvl w:val="0"/>
          <w:numId w:val="2"/>
        </w:numPr>
        <w:shd w:fill="FFFFFF" w:val="clear"/>
        <w:spacing w:after="0" w:before="0" w:line="168" w:lineRule="atLeast"/>
      </w:pPr>
      <w:r>
        <w:rPr>
          <w:rFonts w:ascii="Arial" w:cs="Arial" w:hAnsi="Arial"/>
          <w:sz w:val="14"/>
          <w:szCs w:val="14"/>
        </w:rPr>
        <w:t>Was your earned income (defined later) less</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6968"/>
      </w:tblGrid>
      <w:tr>
        <w:trPr>
          <w:cantSplit w:val="false"/>
        </w:trPr>
        <w:tc>
          <w:tcPr>
            <w:tcW w:type="dxa" w:w="6968"/>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than one-half of your support (defined later) for 2014?</w:t>
            </w:r>
          </w:p>
        </w:tc>
      </w:tr>
      <w:tr>
        <w:trPr>
          <w:cantSplit w:val="false"/>
        </w:trPr>
        <w:tc>
          <w:tcPr>
            <w:tcW w:type="dxa" w:w="6968"/>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b/>
                <w:bCs/>
                <w:sz w:val="14"/>
              </w:rPr>
              <w:t>If no, stop here; you do qualify to claim part of your allowable American opportunity credit as a refundable credit.</w:t>
            </w:r>
          </w:p>
        </w:tc>
      </w:tr>
      <w:tr>
        <w:trPr>
          <w:cantSplit w:val="false"/>
        </w:trPr>
        <w:tc>
          <w:tcPr>
            <w:tcW w:type="dxa" w:w="6968"/>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yes, go to question 6.</w:t>
            </w:r>
          </w:p>
        </w:tc>
      </w:tr>
    </w:tbl>
    <w:p>
      <w:pPr>
        <w:pStyle w:val="style0"/>
        <w:numPr>
          <w:ilvl w:val="0"/>
          <w:numId w:val="2"/>
        </w:numPr>
        <w:shd w:fill="FFFFFF" w:val="clear"/>
        <w:spacing w:after="0" w:before="0" w:line="168" w:lineRule="atLeast"/>
      </w:pPr>
      <w:r>
        <w:rPr>
          <w:rFonts w:ascii="Arial" w:cs="Arial" w:hAnsi="Arial"/>
          <w:sz w:val="14"/>
          <w:szCs w:val="14"/>
        </w:rPr>
        <w:t>Were either of your parents alive at the end of 2014?</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6531"/>
      </w:tblGrid>
      <w:tr>
        <w:trPr>
          <w:cantSplit w:val="false"/>
        </w:trPr>
        <w:tc>
          <w:tcPr>
            <w:tcW w:type="dxa" w:w="6531"/>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no, stop here; you </w:t>
            </w:r>
            <w:r>
              <w:rPr>
                <w:rFonts w:ascii="Times New Roman" w:hAnsi="Times New Roman"/>
                <w:b/>
                <w:bCs/>
                <w:sz w:val="14"/>
              </w:rPr>
              <w:t>do</w:t>
            </w:r>
            <w:r>
              <w:rPr>
                <w:rFonts w:ascii="Times New Roman" w:hAnsi="Times New Roman"/>
                <w:sz w:val="14"/>
                <w:szCs w:val="14"/>
              </w:rPr>
              <w:t> qualify to claim part of your allowable American opportunity credit as a refundable credit.</w:t>
            </w:r>
          </w:p>
        </w:tc>
      </w:tr>
      <w:tr>
        <w:trPr>
          <w:cantSplit w:val="false"/>
        </w:trPr>
        <w:tc>
          <w:tcPr>
            <w:tcW w:type="dxa" w:w="6531"/>
            <w:tcBorders>
              <w:top w:color="00000A" w:space="0" w:sz="6" w:val="thickThinLargeGap"/>
              <w:left w:color="00000A" w:space="0" w:sz="6" w:val="thickThinLargeGap"/>
              <w:bottom w:color="00000A" w:space="0" w:sz="6" w:val="thickThinLargeGap"/>
              <w:right w:color="00000A" w:space="0" w:sz="6" w:val="thickThinLargeGap"/>
            </w:tcBorders>
            <w:shd w:fill="auto" w:val="clear"/>
            <w:tcMar>
              <w:top w:type="dxa" w:w="15"/>
              <w:left w:type="dxa" w:w="15"/>
              <w:bottom w:type="dxa" w:w="15"/>
              <w:right w:type="dxa" w:w="15"/>
            </w:tcMar>
            <w:vAlign w:val="center"/>
          </w:tcPr>
          <w:p>
            <w:pPr>
              <w:pStyle w:val="style0"/>
              <w:spacing w:after="0" w:before="0" w:line="168" w:lineRule="atLeast"/>
            </w:pPr>
            <w:r>
              <w:rPr>
                <w:rFonts w:ascii="Times New Roman" w:hAnsi="Times New Roman"/>
                <w:sz w:val="14"/>
                <w:szCs w:val="14"/>
              </w:rPr>
              <w:t>If yes, go to question 7.</w:t>
            </w:r>
          </w:p>
        </w:tc>
      </w:tr>
    </w:tbl>
    <w:p>
      <w:pPr>
        <w:pStyle w:val="style0"/>
        <w:numPr>
          <w:ilvl w:val="0"/>
          <w:numId w:val="2"/>
        </w:numPr>
        <w:shd w:fill="FFFFFF" w:val="clear"/>
        <w:spacing w:after="0" w:before="0" w:line="168" w:lineRule="atLeast"/>
        <w:ind w:hanging="0" w:left="0" w:right="0"/>
      </w:pPr>
      <w:r>
        <w:rPr>
          <w:rFonts w:ascii="Arial" w:cs="Arial" w:hAnsi="Arial"/>
          <w:color w:val="000000"/>
          <w:sz w:val="14"/>
          <w:szCs w:val="14"/>
        </w:rPr>
        <w:t>Are you filing a joint return for 2014?</w:t>
      </w:r>
    </w:p>
    <w:tbl>
      <w:tblPr>
        <w:jc w:val="left"/>
        <w:tblInd w:type="dxa" w:w="705"/>
        <w:tblBorders>
          <w:top w:color="00000A" w:space="0" w:sz="6" w:val="thickThinLargeGap"/>
          <w:left w:color="00000A" w:space="0" w:sz="6" w:val="thickThinLargeGap"/>
          <w:bottom w:color="00000A" w:space="0" w:sz="6" w:val="thickThinLargeGap"/>
          <w:right w:color="00000A" w:space="0" w:sz="6" w:val="thickThinLargeGap"/>
        </w:tblBorders>
      </w:tblPr>
      <w:tblGrid>
        <w:gridCol w:w="6665"/>
      </w:tblGrid>
      <w:tr>
        <w:trPr>
          <w:cantSplit w:val="false"/>
        </w:trPr>
        <w:tc>
          <w:tcPr>
            <w:tcW w:type="dxa" w:w="6665"/>
            <w:tcBorders>
              <w:top w:color="00000A" w:space="0" w:sz="6" w:val="thickThinLargeGap"/>
              <w:left w:color="00000A" w:space="0" w:sz="6" w:val="thickThinLargeGap"/>
              <w:bottom w:color="00000A" w:space="0" w:sz="6" w:val="thickThinLargeGap"/>
              <w:right w:color="00000A" w:space="0" w:sz="6" w:val="thickThinLargeGap"/>
            </w:tcBorders>
            <w:shd w:fill="FFFFFF" w:val="clear"/>
            <w:tcMar>
              <w:top w:type="dxa" w:w="15"/>
              <w:left w:type="dxa" w:w="15"/>
              <w:bottom w:type="dxa" w:w="15"/>
              <w:right w:type="dxa" w:w="15"/>
            </w:tcMar>
            <w:vAlign w:val="center"/>
          </w:tcPr>
          <w:p>
            <w:pPr>
              <w:pStyle w:val="style0"/>
              <w:spacing w:after="0" w:before="0" w:line="168" w:lineRule="atLeast"/>
            </w:pPr>
            <w:r>
              <w:rPr>
                <w:rFonts w:ascii="Arial" w:cs="Arial" w:hAnsi="Arial"/>
                <w:sz w:val="14"/>
                <w:szCs w:val="14"/>
              </w:rPr>
              <w:t>If no, you </w:t>
            </w:r>
            <w:r>
              <w:rPr>
                <w:rFonts w:ascii="Arial" w:cs="Arial" w:hAnsi="Arial"/>
                <w:b/>
                <w:bCs/>
                <w:sz w:val="14"/>
              </w:rPr>
              <w:t>do not </w:t>
            </w:r>
            <w:r>
              <w:rPr>
                <w:rFonts w:ascii="Arial" w:cs="Arial" w:hAnsi="Arial"/>
                <w:sz w:val="14"/>
                <w:szCs w:val="14"/>
              </w:rPr>
              <w:t>qualify to claim part of your allowable American opportunity credit as a refundable credit.</w:t>
            </w:r>
          </w:p>
        </w:tc>
      </w:tr>
      <w:tr>
        <w:trPr>
          <w:cantSplit w:val="false"/>
        </w:trPr>
        <w:tc>
          <w:tcPr>
            <w:tcW w:type="dxa" w:w="6665"/>
            <w:tcBorders>
              <w:top w:color="00000A" w:space="0" w:sz="6" w:val="thickThinLargeGap"/>
              <w:left w:color="00000A" w:space="0" w:sz="6" w:val="thickThinLargeGap"/>
              <w:bottom w:color="00000A" w:space="0" w:sz="6" w:val="thickThinLargeGap"/>
              <w:right w:color="00000A" w:space="0" w:sz="6" w:val="thickThinLargeGap"/>
            </w:tcBorders>
            <w:shd w:fill="FFFFFF" w:val="clear"/>
            <w:tcMar>
              <w:top w:type="dxa" w:w="15"/>
              <w:left w:type="dxa" w:w="15"/>
              <w:bottom w:type="dxa" w:w="15"/>
              <w:right w:type="dxa" w:w="15"/>
            </w:tcMar>
            <w:vAlign w:val="center"/>
          </w:tcPr>
          <w:p>
            <w:pPr>
              <w:pStyle w:val="style0"/>
              <w:spacing w:after="0" w:before="0" w:line="168" w:lineRule="atLeast"/>
            </w:pPr>
            <w:r>
              <w:rPr>
                <w:rFonts w:ascii="Arial" w:cs="Arial" w:hAnsi="Arial"/>
                <w:sz w:val="14"/>
                <w:szCs w:val="14"/>
              </w:rPr>
              <w:t>If yes, you </w:t>
            </w:r>
            <w:r>
              <w:rPr>
                <w:rFonts w:ascii="Arial" w:cs="Arial" w:hAnsi="Arial"/>
                <w:b/>
                <w:bCs/>
                <w:sz w:val="14"/>
              </w:rPr>
              <w:t>do</w:t>
            </w:r>
            <w:r>
              <w:rPr>
                <w:rFonts w:ascii="Arial" w:cs="Arial" w:hAnsi="Arial"/>
                <w:sz w:val="14"/>
                <w:szCs w:val="14"/>
              </w:rPr>
              <w:t> qualify to claim part of your allowable American opportunity credit as a refundable credit.</w:t>
            </w:r>
          </w:p>
        </w:tc>
      </w:tr>
    </w:tbl>
    <w:p>
      <w:pPr>
        <w:pStyle w:val="style0"/>
      </w:pPr>
      <w:r>
        <w:rPr/>
      </w:r>
    </w:p>
    <w:p>
      <w:pPr>
        <w:pStyle w:val="style0"/>
      </w:pPr>
      <w:r>
        <w:rPr/>
        <w:t>The support requirement in questions 5 for claiming the refundable AOC is more restrictive than for the personal exemption. Scholarship funds are regarded as earned income only if a specific service such as teaching, research, et cetera is required as a condition of the scholarship. This is not a requirement of most undergraduate scholarships in that the vast majority are awarded simply on the basis of merit or need. Scholarship income is confusing in that it is regarded by the IRS as earned income for purposes of the need to file a return but unearned for determining eligibility for the refundable AOC credit and kiddie tax. Hence most students who claim a personal exemption and then also wish to claim the refundable AOC must have earned income from sources other than scholarship that is at least half of their support.  When claiming the personal exemption, scholarships and scholarship income do not count toward support for the student.</w:t>
      </w:r>
    </w:p>
    <w:p>
      <w:pPr>
        <w:pStyle w:val="style0"/>
      </w:pPr>
      <w:r>
        <w:rPr/>
        <w:t>The same rule applies in regard to the computation of kiddie tax.  Form 8615 must be completed if unearned income exceeds $2100 even if the student is claiming the personal exemption when earned income is not at least half of the student’s support.</w:t>
      </w:r>
    </w:p>
    <w:p>
      <w:pPr>
        <w:pStyle w:val="style0"/>
      </w:pPr>
      <w:r>
        <w:rPr/>
        <w:t xml:space="preserve"> </w:t>
      </w:r>
      <w:r>
        <w:rPr/>
        <w:t xml:space="preserve">For dependents Form 8615 is required to be filed anytime scholarship income plus other unearned income exceeds $2100. </w:t>
      </w:r>
    </w:p>
    <w:p>
      <w:pPr>
        <w:pStyle w:val="style0"/>
      </w:pPr>
      <w:r>
        <w:rPr>
          <w:b/>
        </w:rPr>
        <w:t>Applying QEE to specific Credits and Deductions</w:t>
      </w:r>
    </w:p>
    <w:p>
      <w:pPr>
        <w:pStyle w:val="style0"/>
      </w:pPr>
      <w:r>
        <w:rPr/>
        <w:t>The American Opportunity Credit (AOC) allows taxpayers to claim a credit of up to $2,500 based on qualified tuition and related expenses paid for each eligible student.  Forty percent of the American Opportunity Credit is a refundable credit, which means the taxpayer can receive up to $1,000 even if no taxes are owed.-</w:t>
      </w:r>
    </w:p>
    <w:p>
      <w:pPr>
        <w:pStyle w:val="style0"/>
      </w:pPr>
      <w:r>
        <w:rPr/>
        <w:t xml:space="preserve">To be eligible for the AOC, the student must also be at least a half time student (as determined by the school but at least 6 semester hours per term, look for check in box on the 1098-T) enrolled in a program that leads to a degree, certificate or other recognized educational credential and in his first four years of post secondary education.  Years, however, refers to academic years not calendar years, which is the number of accumulated hours and consequent academic standing.  AP or proficiency credits are not included for determining class/academic standing for tax purposes.  For example if a student has not surpassed second semester senior status (e.g., 120 semester hours not including AP or proficiency credits) or graduated by the end of the prior tax year, the student is eligible for the credit. If the student is eligible to claim the AOC, graduates, and then attends grad school, eligible graduate school expenses may also be included as QEE for claiming the AOC for that tax year.  The student must also be free of any </w:t>
      </w:r>
      <w:r>
        <w:rPr>
          <w:u w:val="single"/>
        </w:rPr>
        <w:t>felony</w:t>
      </w:r>
      <w:r>
        <w:rPr/>
        <w:t xml:space="preserve"> conviction for possessing or distributing a controlled substance.</w:t>
      </w:r>
    </w:p>
    <w:p>
      <w:pPr>
        <w:pStyle w:val="style0"/>
      </w:pPr>
      <w:r>
        <w:rPr/>
        <w:t xml:space="preserve">Because the AOC is generous and refundable, it almost always will be the most advantageous educational credit.  Always compute AOC and other educational credits last in order to maximize tax benefits. </w:t>
      </w:r>
    </w:p>
    <w:p>
      <w:pPr>
        <w:pStyle w:val="style0"/>
      </w:pPr>
      <w:r>
        <w:rPr/>
        <w:t>When the terms of the scholarship (all Pell grants) permit expenditure on nonqualified educational expenses (e.g., room and board, general living expenses, etc.), generally  claim all of the scholarship as income up to an amount that will result in a QEE of $4000. The procedure is more complex when scholarship conversion to income is being used to claim the credit and there is less than $1500 of tax liability.  Claim $2000 per student or an amount of AOC (limit $4000) per student that will result in the nonrefundable portion eliminating all tax on Line 63 of the return, either singly or in combination with other student dependents. When the tax on Line 63 of the return is $1200 or less, always claim the first $2000 of the AOC credit per student but only claim the remaining $2000 of the credit to the degree that it does not result in an increase in federal tax on the return of any student dependent or trigger kiddie tax. When the taxpayer is the student, take the full amount possible up to $4000. Reduce scholarship income to the degree possible by the remaining QEE after taking AOC.  Claim the American Opportunity Credit by completing Form 8863.  If kiddie tax is triggered, the amount of scholarship income converted to income may need to be modified or eliminated and the AOC needs to be computed both with and without scholarship conversion to determine which is most advantageous.</w:t>
      </w:r>
    </w:p>
    <w:p>
      <w:pPr>
        <w:pStyle w:val="style0"/>
      </w:pPr>
      <w:r>
        <w:rPr/>
        <w:t>If the client files a Schedule C and the educational expenses claimed "maintains or improves skills required in your trade or business," or that it is required by law or regulations for maintaining a license to practice, status, or job; the educational expenses may be claimed on Schedule C, line 28 as continuing education or other appropriate label.  Because the client can add associated transportation costs and avoids Self Employment Tax in addition to Federal and State Income Tax, this is usually the best second choice for clients that have businesses that generate a profit.  Benefits are maximized by regarding as much scholarship money as possible as scholarship income because of reduction of Self Employment Tax when the business shows a profit. If the business operates at a loss yet there is not a net operating loss for the return, the preparer may need to compute and compare to other educational credits.  There is the additional advantage of increasing the Premium Tax Credit if the client receives a subsidy from ACA.</w:t>
      </w:r>
    </w:p>
    <w:p>
      <w:pPr>
        <w:pStyle w:val="style0"/>
      </w:pPr>
      <w:r>
        <w:rPr/>
        <w:t>Lifetime Learning Credit (LLC) is usually but not always the next most advantageous credit. The credit is 20% of the first $10,000 of QEE paid for all eligible students, up to the amount of tax on the return and must be either part of a postsecondary degree program or taken by the student to acquire or improve job skills. The LLC can be up to $2,000 per tax return, depending on the amount of eligible expenses and the amount of tax liability.   Since it is a nonrefundable credit, convert only the amount of scholarship money to scholarship income necessary to eliminate federal tax.  The same restrictions for conversion apply to LLC as with AOC.   Always do this last to maximize the possible tax benefit. The maximum useful QEE is $10,000 for a maximum tax credit of $2,000.  Compute with and without scholarship conversion to income in that the gains in federal and state income tax may outweigh the reduction in federal income tax.  Books and other required supplies are included in QEE for claiming LLC only if they must be purchased only from the school.  However amounts spent on books and required supplies may be used to further reduce scholarship income after maximizing LLC.   You claim the LLC by completing Form 8863.  If kiddie tax is triggered, the amount of scholarship income converted may need to be modified.</w:t>
      </w:r>
    </w:p>
    <w:p>
      <w:pPr>
        <w:pStyle w:val="style0"/>
      </w:pPr>
      <w:bookmarkStart w:id="0" w:name="_GoBack"/>
      <w:bookmarkEnd w:id="0"/>
      <w:r>
        <w:rPr>
          <w:b/>
          <w:u w:val="single"/>
        </w:rPr>
        <w:t>Illinois Education Tax Credit</w:t>
      </w:r>
    </w:p>
    <w:p>
      <w:pPr>
        <w:pStyle w:val="style0"/>
      </w:pPr>
      <w:r>
        <w:rPr/>
        <w:t>Illinois grants a credit for qualified education expenses, in excess of $250, paid during the tax year by the parent or legal guardian of a full-time Kindergarten through grade 12 student who was under the age of 21 at the close of the school year. Both the student and taxpayer must be Illinois residents and the student must have attended a school located in Illinois.</w:t>
      </w:r>
    </w:p>
    <w:p>
      <w:pPr>
        <w:pStyle w:val="style0"/>
      </w:pPr>
      <w:r>
        <w:rPr/>
        <w:t>Qualified education expenses include the amount of tuition (including summer school classes required for elementary or secondary graduation requirements), book fees paid for the rental of books that were required as a part of the school’s education program, lab fees paid for the use of supplies, equipment, materials, or instruments that were required as part of a lab course in the school’s education program.  For example, a rented musical instrument from the school (not from a business) for a class, or for participation in an extracurricular activity that resulted in a credit toward completion of the school’s education program qualifies as an education expense.</w:t>
      </w:r>
    </w:p>
    <w:p>
      <w:pPr>
        <w:pStyle w:val="style0"/>
      </w:pPr>
      <w:r>
        <w:rPr/>
        <w:t>The taxpayer will be allowed 25 percent of the student’s qualified educational expenses after the first $250. The total credit may not exceed $500 in any year, regardless of the number of qualifying students. If filing separate returns, either parent, custodial or noncustodial, can claim the credit or they may by agreement split the credit. However, the amount claimed by both may not exceed the amount that would be credited to a single claimant ($500).</w:t>
      </w:r>
    </w:p>
    <w:p>
      <w:pPr>
        <w:pStyle w:val="style0"/>
      </w:pPr>
      <w:r>
        <w:rPr>
          <w:b/>
          <w:u w:val="single"/>
        </w:rPr>
        <w:t>Computers and QEE</w:t>
      </w:r>
    </w:p>
    <w:p>
      <w:pPr>
        <w:pStyle w:val="style0"/>
      </w:pPr>
      <w:r>
        <w:rPr/>
        <w:t>Clearly qualify as QEE for 529 Plans but rarely for other educational benefits such as AOC:</w:t>
      </w:r>
    </w:p>
    <w:p>
      <w:pPr>
        <w:pStyle w:val="style0"/>
      </w:pPr>
      <w:r>
        <w:rPr/>
        <w:t xml:space="preserve"> </w:t>
      </w:r>
      <w:hyperlink r:id="rId2">
        <w:r>
          <w:rPr>
            <w:rStyle w:val="style16"/>
          </w:rPr>
          <w:t>www.irs.gov/uac/american-opportunity-tax-credit-questions-and-answers</w:t>
        </w:r>
      </w:hyperlink>
      <w:r>
        <w:rPr/>
        <w:t xml:space="preserve"> :</w:t>
      </w:r>
    </w:p>
    <w:p>
      <w:pPr>
        <w:pStyle w:val="style0"/>
      </w:pPr>
      <w:r>
        <w:rPr/>
        <w:t>Q7. Does an expenditure for a computer qualify for the American opportunity tax credit?</w:t>
      </w:r>
    </w:p>
    <w:p>
      <w:pPr>
        <w:pStyle w:val="style30"/>
      </w:pPr>
      <w:r>
        <w:rPr/>
        <w:t xml:space="preserve">Whether an expenditure for a computer qualifies for the credit depends on the facts. An expenditure for a computer would qualify for the credit if the computer is needed as a condition of enrollment or attendance at the educational institution. </w:t>
      </w:r>
    </w:p>
    <w:p>
      <w:pPr>
        <w:pStyle w:val="style0"/>
      </w:pPr>
      <w:r>
        <w:rPr/>
        <w:t>Some schools issue computers and software to all students and the cost of this is included in the billing separately or as part of tuition. If required of all students, this would then be a qualified educational expense. Also if a course required a specific computer with perhaps specific software (e.g., a high level computer graphics course), these too might be considered qualified educational expenses.</w:t>
      </w:r>
    </w:p>
    <w:p>
      <w:pPr>
        <w:pStyle w:val="style0"/>
      </w:pPr>
      <w:r>
        <w:rPr>
          <w:b/>
          <w:u w:val="single"/>
        </w:rPr>
        <w:t>Examples of AOC and Scholarship Conversion from Publication 970 2012</w:t>
      </w:r>
    </w:p>
    <w:p>
      <w:pPr>
        <w:pStyle w:val="style0"/>
      </w:pPr>
      <w:r>
        <w:rPr/>
        <w:t>Example 1—No scholarship.</w:t>
      </w:r>
    </w:p>
    <w:p>
      <w:pPr>
        <w:pStyle w:val="style0"/>
      </w:pPr>
      <w:r>
        <w:rPr/>
        <w:t xml:space="preserve"> </w:t>
      </w:r>
      <w:r>
        <w:rPr/>
        <w:t>Bill Pass, age 28 and unmarried, enrolled full-time in 2012 as a first-year student at a local college to earn a degree in law enforcement. This was his first year of postsecondary education. During 2012, he paid $5,600 for his qualified education expenses and $4,400 for his room and board for the fall 2012 semester.  He and the college meet all the requirements for the American opportunity credit. Bill's AGI and his MAGI, for purposes of figuring his credit, are $30,000. Bill takes the standard deduction of $5,950 and personal exemption of $3,800, reducing his AGI to taxable income of $20,250. His income tax liability, before credits, is $2,599 and Bill claims no credits other than the American opportunity credit. He figures his American opportunity credit based on qualified education expenses of $4,000, which results in a credit of $2,500 and tax after credits of $99</w:t>
      </w:r>
    </w:p>
    <w:p>
      <w:pPr>
        <w:pStyle w:val="style0"/>
      </w:pPr>
      <w:r>
        <w:rPr/>
        <w:t>Example 2—Scholarship excluded from income.</w:t>
      </w:r>
    </w:p>
    <w:p>
      <w:pPr>
        <w:pStyle w:val="style0"/>
      </w:pPr>
      <w:r>
        <w:rPr/>
        <w:t>The facts are the same as in Example 1—No scholarship, except that Bill was awarded a $5,600 scholarship. Under the terms of his scholarship, it may be used to pay any educational expenses, including room and board. If Bill excludes the scholarship from income, he will be deemed (for purposes of computing his education credit) to have used the scholarship to pay for tuition, required fees, and course materials. His adjusted qualified education expenses will be zero and he will not have an education credit. Therefore, Bill's tax after credits would be $2,599.</w:t>
      </w:r>
    </w:p>
    <w:p>
      <w:pPr>
        <w:pStyle w:val="style0"/>
      </w:pPr>
      <w:r>
        <w:rPr/>
        <w:t>Example 3—Scholarship partially included in income.</w:t>
      </w:r>
    </w:p>
    <w:p>
      <w:pPr>
        <w:pStyle w:val="style0"/>
      </w:pPr>
      <w:r>
        <w:rPr/>
        <w:t>The facts are the same as in Example 2—Scholarship excluded from income. If, unlike Example 2, Bill includes $4,000 of the scholarship in income, he will be deemed to have used that amount to pay for room and board. The remaining $1,600 of the $5,600 scholarship will reduce his qualified education expenses and his adjusted qualified education expenses will be $4,000. Bill's AGI will increase to $34,000, his taxable income will increase to $24,250, and his tax before credits will increase to $3,199. Based on his adjusted qualified education expenses of $4,000, Bill would be able to claim an American opportunity tax credit of $2,500 and his tax after credits would be $699.</w:t>
      </w:r>
    </w:p>
    <w:p>
      <w:pPr>
        <w:pStyle w:val="style0"/>
      </w:pPr>
      <w:r>
        <w:rPr>
          <w:b/>
          <w:u w:val="single"/>
        </w:rPr>
        <w:t>Examples of LLC from Publication 970 2012</w:t>
      </w:r>
    </w:p>
    <w:p>
      <w:pPr>
        <w:pStyle w:val="style0"/>
      </w:pPr>
      <w:r>
        <w:rPr/>
        <w:t xml:space="preserve">Example 1—No scholarship. </w:t>
      </w:r>
    </w:p>
    <w:p>
      <w:pPr>
        <w:pStyle w:val="style0"/>
      </w:pPr>
      <w:r>
        <w:rPr/>
        <w:t>Judy Green, who is unmarried, is taking courses at a public community college to be recertified to teach in public schools. Her AGI and her MAGI, for purposes of the credit, are $27,000. Judy takes the standard deduction of $5,950 and personal exemption of $3,800, reducing her AGI to taxable income of $17,250 and her tax before credits is $2,156. She claims no credits other than the lifetime learning credit. In July 2012 she paid $700 for the summer 2012 semester; in August 2012 she paid $1,900 for the fall 2012 semester; and in December 2012 she paid another $1,900 for the spring semester beginning in January 2013. Judy and the college meet all requirements for the lifetime learning tax credit. She can use all of the $4,500 tuition she paid in 2012 when figuring her 2012 lifetime learning credit. She claims a $900 lifetime learning credit and her tax after credits is $1,256.</w:t>
      </w:r>
    </w:p>
    <w:p>
      <w:pPr>
        <w:pStyle w:val="style0"/>
      </w:pPr>
      <w:r>
        <w:rPr/>
        <w:t>Example 2—Scholarship excluded from income.</w:t>
      </w:r>
    </w:p>
    <w:p>
      <w:pPr>
        <w:pStyle w:val="style0"/>
      </w:pPr>
      <w:r>
        <w:rPr/>
        <w:t>The facts are the same as in Example 1—No scholarship, except that Judy was awarded a $1,500 scholarship. Under the terms of her scholarship, it may be used to pay any educational expenses, including room and board. If Judy excludes the scholarship from income, she will be deemed (for purposes of computing her education credit) as having used the scholarship to pay for tuition, required fees, and course materials. Only $3,000 of the $4,500 tuition she paid in 2012 could be used when figuring her 2012 lifetime learning credit. Her lifetime learning credit would be reduced to $600 and her tax after credits would be $1,556.</w:t>
      </w:r>
    </w:p>
    <w:p>
      <w:pPr>
        <w:pStyle w:val="style0"/>
      </w:pPr>
      <w:r>
        <w:rPr/>
        <w:t>Example 3—Scholarship included in income.</w:t>
      </w:r>
    </w:p>
    <w:p>
      <w:pPr>
        <w:pStyle w:val="style0"/>
      </w:pPr>
      <w:r>
        <w:rPr/>
        <w:t>The facts are the same as in Example 2—Scholarship excluded from income. If, unlike Example 2, Judy includes the $1,500 scholarship in income, she will be deemed to have used the entire scholarship to pay for room and board.  Judy's AGI will increase to $28,500, her taxable income would be $18,750, and her tax before credits would be $2,381. She would be able to use the $4,500 of adjusted qualified education expenses to figure her credit. Judy could claim a $900 lifetime learning credit and her tax after credits would be $1,481.</w:t>
      </w:r>
    </w:p>
    <w:p>
      <w:pPr>
        <w:pStyle w:val="style0"/>
      </w:pPr>
      <w:r>
        <w:rPr/>
        <w:t>Example 5 2014</w:t>
      </w:r>
    </w:p>
    <w:p>
      <w:pPr>
        <w:pStyle w:val="style0"/>
      </w:pPr>
      <w:r>
        <w:rPr>
          <w:b/>
          <w:bCs/>
          <w:i/>
          <w:iCs/>
          <w:sz w:val="20"/>
          <w:szCs w:val="20"/>
        </w:rPr>
        <w:t xml:space="preserve">Example 5—Student with a dependent child. </w:t>
      </w:r>
      <w:r>
        <w:rPr>
          <w:sz w:val="20"/>
          <w:szCs w:val="20"/>
        </w:rPr>
        <w:t>Jane Doe, age 28 and unmarried, enrolled full-time as a first-year student at a local technical college to get a certif-icate as a computer technician. This was her first year of postsecondary education. During 2014, she paid $6,000 for qualified education expenses. She and the college meet all the requirements for the American opportunity credit. Jane has a dependent child, age 10, who is a quali-fying child for purposes of receiving the Earned Income Credit (EIC) and the child tax credit. Jane’s wages are $20,000. Jane withheld no income taxes on these wages and has no other income or adjustments. Jane was awar-ded a $5,500 scholarship. Under the terms of her scholar-ship, it may be used to pay tuition and any living expense, including child care and rent. Jane paid $10,000 in rent and child care expenses in 2014.</w:t>
      </w:r>
    </w:p>
    <w:p>
      <w:pPr>
        <w:pStyle w:val="style0"/>
      </w:pPr>
      <w:r>
        <w:rPr>
          <w:sz w:val="20"/>
          <w:szCs w:val="20"/>
        </w:rPr>
      </w:r>
    </w:p>
    <w:p>
      <w:pPr>
        <w:pStyle w:val="style0"/>
      </w:pPr>
      <w:r>
        <w:rPr>
          <w:sz w:val="20"/>
          <w:szCs w:val="20"/>
        </w:rPr>
        <w:t xml:space="preserve">If Jane </w:t>
      </w:r>
      <w:r>
        <w:rPr>
          <w:b/>
          <w:bCs/>
          <w:sz w:val="20"/>
          <w:szCs w:val="20"/>
        </w:rPr>
        <w:t xml:space="preserve">excludes </w:t>
      </w:r>
      <w:r>
        <w:rPr>
          <w:sz w:val="20"/>
          <w:szCs w:val="20"/>
        </w:rPr>
        <w:t>the entire scholarship from income, she will be deemed to have applied the entire scholarship to pay qualified education expenses. Her AGI and MAGI would be $20,000. Her tax liability before any credits would be $303. Her qualified education expenses would be reduced to $500. She would be able to receive a $500 American opportunity credit ($200 refundable and $300 nonrefundable), a $1,000 child credit ($3 child credit and $997 additional child credit), and a $2,954 earned income credit. In total, she would be able to receive a tax refund of $4,151.</w:t>
      </w:r>
    </w:p>
    <w:p>
      <w:pPr>
        <w:pStyle w:val="style0"/>
      </w:pPr>
      <w:r>
        <w:rPr>
          <w:sz w:val="20"/>
          <w:szCs w:val="20"/>
        </w:rPr>
        <w:t xml:space="preserve">If Jane </w:t>
      </w:r>
      <w:r>
        <w:rPr>
          <w:b/>
          <w:bCs/>
          <w:sz w:val="20"/>
          <w:szCs w:val="20"/>
        </w:rPr>
        <w:t xml:space="preserve">includes </w:t>
      </w:r>
      <w:r>
        <w:rPr>
          <w:sz w:val="20"/>
          <w:szCs w:val="20"/>
        </w:rPr>
        <w:t>the entire scholarship in income, she will be deemed to have applied the entire scholarship to pay living expenses. Her qualified education expenses would be $6,000, and her AGI and MAGI would be $25,500. Her tax liability before any credits would be $853. She would be able to receive a $1,853 American opportunity credit ($1,000 refundable and $853 nonre-fundable), a $1,000 child credit ($1,000 additional child credit), and a $2,075 earned income credit. In total, she would be able to receive a tax refund of $4,075.</w:t>
      </w:r>
    </w:p>
    <w:p>
      <w:pPr>
        <w:pStyle w:val="style0"/>
      </w:pPr>
      <w:r>
        <w:rPr>
          <w:sz w:val="20"/>
          <w:szCs w:val="20"/>
        </w:rPr>
      </w:r>
    </w:p>
    <w:p>
      <w:pPr>
        <w:pStyle w:val="style0"/>
      </w:pPr>
      <w:r>
        <w:rPr>
          <w:sz w:val="20"/>
          <w:szCs w:val="20"/>
        </w:rPr>
        <w:t xml:space="preserve">If Jane </w:t>
      </w:r>
      <w:r>
        <w:rPr>
          <w:b/>
          <w:bCs/>
          <w:sz w:val="20"/>
          <w:szCs w:val="20"/>
        </w:rPr>
        <w:t xml:space="preserve">includes </w:t>
      </w:r>
      <w:r>
        <w:rPr>
          <w:sz w:val="20"/>
          <w:szCs w:val="20"/>
        </w:rPr>
        <w:t>$3,500 of the scholarship in income, she will be deemed to have applied $3,500 of the scholarship to pay living expenses, and $2,000 to pay qualified education expenses. Her qualified education expenses would be $4,000, and her AGI and MAGI would be $23,500. Her tax liability before any credits would be $653. She would be able to receive a $1,653 American opportunity credit ($1,000 refundable and $653 nonre-fundable), a $1,000 child credit ($1,000 additional child credit), and a $2,395 earned income credit. In total, she would be able to receive a tax refund of $4,395.</w:t>
      </w:r>
    </w:p>
    <w:p>
      <w:pPr>
        <w:pStyle w:val="style0"/>
      </w:pPr>
      <w:r>
        <w:rPr>
          <w:sz w:val="20"/>
          <w:szCs w:val="20"/>
        </w:rPr>
        <w:t xml:space="preserve">If Jane </w:t>
      </w:r>
      <w:r>
        <w:rPr>
          <w:b/>
          <w:bCs/>
          <w:sz w:val="20"/>
          <w:szCs w:val="20"/>
        </w:rPr>
        <w:t xml:space="preserve">includes </w:t>
      </w:r>
      <w:r>
        <w:rPr>
          <w:sz w:val="20"/>
          <w:szCs w:val="20"/>
        </w:rPr>
        <w:t>$1,500 of the scholarship in income, she will be deemed to have</w:t>
      </w:r>
      <w:r>
        <w:rPr/>
        <w:t xml:space="preserve"> </w:t>
      </w:r>
      <w:r>
        <w:rPr>
          <w:sz w:val="20"/>
          <w:szCs w:val="20"/>
        </w:rPr>
        <w:t>applied $1,500 of the scholar-ship to pay living expenses, and $4,000 to pay qualified education expenses. Her qualified education expenses would be $2,000, and her AGI and MAGI would be $21,500. Her tax liability before any credits would be $453. She would be able to receive a $1,253 American opportunity credit ($800 refundable and $453 nonrefunda-ble), a $1,000 child credit ($1,000 additional child credit), and a $2,714 earned income credit. In total, she would be able to receive a tax refund of $4,514. This is the highest tax refund among these scenarios.</w:t>
      </w:r>
    </w:p>
    <w:p>
      <w:pPr>
        <w:pStyle w:val="style0"/>
      </w:pPr>
      <w:r>
        <w:rPr/>
      </w:r>
    </w:p>
    <w:p>
      <w:pPr>
        <w:pStyle w:val="style0"/>
        <w:widowControl/>
        <w:spacing w:after="200" w:before="0" w:line="276" w:lineRule="auto"/>
      </w:pPr>
      <w:r>
        <w:rPr/>
      </w:r>
    </w:p>
    <w:sectPr>
      <w:headerReference r:id="rId3" w:type="even"/>
      <w:headerReference r:id="rId4" w:type="default"/>
      <w:footerReference r:id="rId5" w:type="even"/>
      <w:footerReference r:id="rId6" w:type="default"/>
      <w:type w:val="nextPage"/>
      <w:pgSz w:h="15840" w:w="12240"/>
      <w:pgMar w:bottom="1440" w:footer="720" w:gutter="0" w:header="720" w:left="1440" w:right="1440" w:top="1440"/>
      <w:pgNumType w:fmt="decimal"/>
      <w:formProt w:val="false"/>
      <w:textDirection w:val="lrTb"/>
      <w:docGrid w:charSpace="0" w:linePitch="360" w:type="default"/>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ymbol">
    <w:charset w:val="02"/>
    <w:family w:val="auto"/>
    <w:pitch w:val="default"/>
  </w:font>
  <w:font w:name="OpenSymbol">
    <w:altName w:val="Arial Unicode MS"/>
    <w:charset w:val="8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34"/>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34"/>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33"/>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style33"/>
      <w:jc w:val="center"/>
    </w:pPr>
    <w:r>
      <w:rPr/>
      <w:fldChar w:fldCharType="begin"/>
    </w:r>
    <w:r>
      <w:instrText> PAGE </w:instrText>
    </w:r>
    <w:r>
      <w:fldChar w:fldCharType="separate"/>
    </w:r>
    <w:r>
      <w:t>5</w:t>
    </w:r>
    <w:r>
      <w:fldChar w:fldCharType="end"/>
    </w:r>
  </w:p>
  <w:p>
    <w:pPr>
      <w:pStyle w:val="style33"/>
    </w:pPr>
    <w:r>
      <w:rPr/>
    </w:r>
  </w:p>
</w:hdr>
</file>

<file path=word/numbering.xml><?xml version="1.0" encoding="utf-8"?>
<w:numbering xmlns:w="http://schemas.openxmlformats.org/wordprocessingml/2006/main">
  <w:abstractNum w:abstractNumId="1">
    <w:lvl w:ilvl="0">
      <w:start w:val="1"/>
      <w:numFmt w:val="none"/>
      <w:suff w:val="nothing"/>
      <w:lvlText w:val=""/>
      <w:lvlJc w:val="left"/>
      <w:pPr>
        <w:tabs>
          <w:tab w:pos="432" w:val="num"/>
        </w:tabs>
        <w:ind w:hanging="432" w:left="432"/>
      </w:pPr>
    </w:lvl>
    <w:lvl w:ilvl="1">
      <w:start w:val="1"/>
      <w:numFmt w:val="none"/>
      <w:suff w:val="nothing"/>
      <w:lvlText w:val=""/>
      <w:lvlJc w:val="left"/>
      <w:pPr>
        <w:tabs>
          <w:tab w:pos="576" w:val="num"/>
        </w:tabs>
        <w:ind w:hanging="576" w:left="576"/>
      </w:pPr>
    </w:lvl>
    <w:lvl w:ilvl="2">
      <w:start w:val="1"/>
      <w:numFmt w:val="none"/>
      <w:suff w:val="nothing"/>
      <w:lvlText w:val=""/>
      <w:lvlJc w:val="left"/>
      <w:pPr>
        <w:tabs>
          <w:tab w:pos="720" w:val="num"/>
        </w:tabs>
        <w:ind w:hanging="720" w:left="720"/>
      </w:pPr>
    </w:lvl>
    <w:lvl w:ilvl="3">
      <w:start w:val="1"/>
      <w:numFmt w:val="none"/>
      <w:suff w:val="nothing"/>
      <w:lvlText w:val=""/>
      <w:lvlJc w:val="left"/>
      <w:pPr>
        <w:tabs>
          <w:tab w:pos="864" w:val="num"/>
        </w:tabs>
        <w:ind w:hanging="864" w:left="864"/>
      </w:pPr>
    </w:lvl>
    <w:lvl w:ilvl="4">
      <w:start w:val="1"/>
      <w:numFmt w:val="none"/>
      <w:suff w:val="nothing"/>
      <w:lvlText w:val=""/>
      <w:lvlJc w:val="left"/>
      <w:pPr>
        <w:tabs>
          <w:tab w:pos="1008" w:val="num"/>
        </w:tabs>
        <w:ind w:hanging="1008" w:left="1008"/>
      </w:pPr>
    </w:lvl>
    <w:lvl w:ilvl="5">
      <w:start w:val="1"/>
      <w:numFmt w:val="none"/>
      <w:suff w:val="nothing"/>
      <w:lvlText w:val=""/>
      <w:lvlJc w:val="left"/>
      <w:pPr>
        <w:tabs>
          <w:tab w:pos="1152" w:val="num"/>
        </w:tabs>
        <w:ind w:hanging="1152" w:left="1152"/>
      </w:pPr>
    </w:lvl>
    <w:lvl w:ilvl="6">
      <w:start w:val="1"/>
      <w:numFmt w:val="none"/>
      <w:suff w:val="nothing"/>
      <w:lvlText w:val=""/>
      <w:lvlJc w:val="left"/>
      <w:pPr>
        <w:tabs>
          <w:tab w:pos="1296" w:val="num"/>
        </w:tabs>
        <w:ind w:hanging="1296" w:left="1296"/>
      </w:pPr>
    </w:lvl>
    <w:lvl w:ilvl="7">
      <w:start w:val="1"/>
      <w:numFmt w:val="none"/>
      <w:suff w:val="nothing"/>
      <w:lvlText w:val=""/>
      <w:lvlJc w:val="left"/>
      <w:pPr>
        <w:tabs>
          <w:tab w:pos="1440" w:val="num"/>
        </w:tabs>
        <w:ind w:hanging="1440" w:left="1440"/>
      </w:pPr>
    </w:lvl>
    <w:lvl w:ilvl="8">
      <w:start w:val="1"/>
      <w:numFmt w:val="none"/>
      <w:suff w:val="nothing"/>
      <w:lvlText w:val=""/>
      <w:lvlJc w:val="left"/>
      <w:pPr>
        <w:tabs>
          <w:tab w:pos="1584" w:val="num"/>
        </w:tabs>
        <w:ind w:hanging="1584" w:left="1584"/>
      </w:pPr>
    </w:lvl>
  </w:abstractNum>
  <w:abstractNum w:abstractNumId="2">
    <w:lvl w:ilvl="0">
      <w:start w:val="1"/>
      <w:numFmt w:val="decimal"/>
      <w:lvlText w:val="%1."/>
      <w:lvlJc w:val="left"/>
      <w:pPr>
        <w:tabs>
          <w:tab w:pos="720" w:val="num"/>
        </w:tabs>
        <w:ind w:hanging="360" w:left="720"/>
      </w:pPr>
      <w:rPr/>
    </w:lvl>
    <w:lvl w:ilvl="1">
      <w:start w:val="1"/>
      <w:numFmt w:val="decimal"/>
      <w:lvlText w:val="%2."/>
      <w:lvlJc w:val="left"/>
      <w:pPr>
        <w:tabs>
          <w:tab w:pos="1440" w:val="num"/>
        </w:tabs>
        <w:ind w:hanging="360" w:left="1440"/>
      </w:pPr>
      <w:rPr/>
    </w:lvl>
    <w:lvl w:ilvl="2">
      <w:start w:val="1"/>
      <w:numFmt w:val="decimal"/>
      <w:lvlText w:val="%3."/>
      <w:lvlJc w:val="left"/>
      <w:pPr>
        <w:tabs>
          <w:tab w:pos="2160" w:val="num"/>
        </w:tabs>
        <w:ind w:hanging="360" w:left="2160"/>
      </w:pPr>
      <w:rPr/>
    </w:lvl>
    <w:lvl w:ilvl="3">
      <w:start w:val="1"/>
      <w:numFmt w:val="decimal"/>
      <w:lvlText w:val="%4."/>
      <w:lvlJc w:val="left"/>
      <w:pPr>
        <w:tabs>
          <w:tab w:pos="2880" w:val="num"/>
        </w:tabs>
        <w:ind w:hanging="360" w:left="2880"/>
      </w:pPr>
      <w:rPr/>
    </w:lvl>
    <w:lvl w:ilvl="4">
      <w:start w:val="1"/>
      <w:numFmt w:val="decimal"/>
      <w:lvlText w:val="%5."/>
      <w:lvlJc w:val="left"/>
      <w:pPr>
        <w:tabs>
          <w:tab w:pos="3600" w:val="num"/>
        </w:tabs>
        <w:ind w:hanging="360" w:left="3600"/>
      </w:pPr>
      <w:rPr/>
    </w:lvl>
    <w:lvl w:ilvl="5">
      <w:start w:val="1"/>
      <w:numFmt w:val="decimal"/>
      <w:lvlText w:val="%6."/>
      <w:lvlJc w:val="left"/>
      <w:pPr>
        <w:tabs>
          <w:tab w:pos="4320" w:val="num"/>
        </w:tabs>
        <w:ind w:hanging="360" w:left="4320"/>
      </w:pPr>
      <w:rPr/>
    </w:lvl>
    <w:lvl w:ilvl="6">
      <w:start w:val="1"/>
      <w:numFmt w:val="decimal"/>
      <w:lvlText w:val="%7."/>
      <w:lvlJc w:val="left"/>
      <w:pPr>
        <w:tabs>
          <w:tab w:pos="5040" w:val="num"/>
        </w:tabs>
        <w:ind w:hanging="360" w:left="5040"/>
      </w:pPr>
      <w:rPr/>
    </w:lvl>
    <w:lvl w:ilvl="7">
      <w:start w:val="1"/>
      <w:numFmt w:val="decimal"/>
      <w:lvlText w:val="%8."/>
      <w:lvlJc w:val="left"/>
      <w:pPr>
        <w:tabs>
          <w:tab w:pos="5760" w:val="num"/>
        </w:tabs>
        <w:ind w:hanging="360" w:left="5760"/>
      </w:pPr>
      <w:rPr/>
    </w:lvl>
    <w:lvl w:ilvl="8">
      <w:start w:val="1"/>
      <w:numFmt w:val="decimal"/>
      <w:lvlText w:val="%9."/>
      <w:lvlJc w:val="left"/>
      <w:pPr>
        <w:tabs>
          <w:tab w:pos="6480" w:val="num"/>
        </w:tabs>
        <w:ind w:hanging="360" w:left="6480"/>
      </w:pPr>
      <w:rPr/>
    </w:lvl>
  </w:abstractNum>
  <w:abstractNum w:abstractNumId="3">
    <w:lvl w:ilvl="0">
      <w:start w:val="1"/>
      <w:numFmt w:val="bullet"/>
      <w:lvlText w:val=""/>
      <w:lvlJc w:val="left"/>
      <w:pPr>
        <w:tabs>
          <w:tab w:pos="720" w:val="num"/>
        </w:tabs>
        <w:ind w:hanging="360" w:left="720"/>
      </w:pPr>
      <w:rPr>
        <w:rFonts w:ascii="Symbol" w:cs="Symbol" w:hAnsi="Symbol" w:hint="default"/>
      </w:rPr>
    </w:lvl>
    <w:lvl w:ilvl="1">
      <w:start w:val="1"/>
      <w:numFmt w:val="bullet"/>
      <w:lvlText w:val="◦"/>
      <w:lvlJc w:val="left"/>
      <w:pPr>
        <w:tabs>
          <w:tab w:pos="1080" w:val="num"/>
        </w:tabs>
        <w:ind w:hanging="360" w:left="1080"/>
      </w:pPr>
      <w:rPr>
        <w:rFonts w:ascii="OpenSymbol" w:cs="OpenSymbol" w:hAnsi="OpenSymbol" w:hint="default"/>
      </w:rPr>
    </w:lvl>
    <w:lvl w:ilvl="2">
      <w:start w:val="1"/>
      <w:numFmt w:val="bullet"/>
      <w:lvlText w:val="▪"/>
      <w:lvlJc w:val="left"/>
      <w:pPr>
        <w:tabs>
          <w:tab w:pos="1440" w:val="num"/>
        </w:tabs>
        <w:ind w:hanging="360" w:left="1440"/>
      </w:pPr>
      <w:rPr>
        <w:rFonts w:ascii="OpenSymbol" w:cs="OpenSymbol" w:hAnsi="OpenSymbol" w:hint="default"/>
      </w:rPr>
    </w:lvl>
    <w:lvl w:ilvl="3">
      <w:start w:val="1"/>
      <w:numFmt w:val="bullet"/>
      <w:lvlText w:val=""/>
      <w:lvlJc w:val="left"/>
      <w:pPr>
        <w:tabs>
          <w:tab w:pos="1800" w:val="num"/>
        </w:tabs>
        <w:ind w:hanging="360" w:left="1800"/>
      </w:pPr>
      <w:rPr>
        <w:rFonts w:ascii="Symbol" w:cs="Symbol" w:hAnsi="Symbol" w:hint="default"/>
      </w:rPr>
    </w:lvl>
    <w:lvl w:ilvl="4">
      <w:start w:val="1"/>
      <w:numFmt w:val="bullet"/>
      <w:lvlText w:val="◦"/>
      <w:lvlJc w:val="left"/>
      <w:pPr>
        <w:tabs>
          <w:tab w:pos="2160" w:val="num"/>
        </w:tabs>
        <w:ind w:hanging="360" w:left="2160"/>
      </w:pPr>
      <w:rPr>
        <w:rFonts w:ascii="OpenSymbol" w:cs="OpenSymbol" w:hAnsi="OpenSymbol" w:hint="default"/>
      </w:rPr>
    </w:lvl>
    <w:lvl w:ilvl="5">
      <w:start w:val="1"/>
      <w:numFmt w:val="bullet"/>
      <w:lvlText w:val="▪"/>
      <w:lvlJc w:val="left"/>
      <w:pPr>
        <w:tabs>
          <w:tab w:pos="2520" w:val="num"/>
        </w:tabs>
        <w:ind w:hanging="360" w:left="2520"/>
      </w:pPr>
      <w:rPr>
        <w:rFonts w:ascii="OpenSymbol" w:cs="OpenSymbol" w:hAnsi="OpenSymbol" w:hint="default"/>
      </w:rPr>
    </w:lvl>
    <w:lvl w:ilvl="6">
      <w:start w:val="1"/>
      <w:numFmt w:val="bullet"/>
      <w:lvlText w:val=""/>
      <w:lvlJc w:val="left"/>
      <w:pPr>
        <w:tabs>
          <w:tab w:pos="2880" w:val="num"/>
        </w:tabs>
        <w:ind w:hanging="360" w:left="2880"/>
      </w:pPr>
      <w:rPr>
        <w:rFonts w:ascii="Symbol" w:cs="Symbol" w:hAnsi="Symbol" w:hint="default"/>
      </w:rPr>
    </w:lvl>
    <w:lvl w:ilvl="7">
      <w:start w:val="1"/>
      <w:numFmt w:val="bullet"/>
      <w:lvlText w:val="◦"/>
      <w:lvlJc w:val="left"/>
      <w:pPr>
        <w:tabs>
          <w:tab w:pos="3240" w:val="num"/>
        </w:tabs>
        <w:ind w:hanging="360" w:left="3240"/>
      </w:pPr>
      <w:rPr>
        <w:rFonts w:ascii="OpenSymbol" w:cs="OpenSymbol" w:hAnsi="OpenSymbol" w:hint="default"/>
      </w:rPr>
    </w:lvl>
    <w:lvl w:ilvl="8">
      <w:start w:val="1"/>
      <w:numFmt w:val="bullet"/>
      <w:lvlText w:val="▪"/>
      <w:lvlJc w:val="left"/>
      <w:pPr>
        <w:tabs>
          <w:tab w:pos="3600" w:val="num"/>
        </w:tabs>
        <w:ind w:hanging="360" w:left="3600"/>
      </w:pPr>
      <w:rPr>
        <w:rFonts w:ascii="OpenSymbol" w:cs="OpenSymbol" w:hAnsi="OpenSymbol"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evenAndOddHeaders/>
</w:settings>
</file>

<file path=word/styles.xml><?xml version="1.0" encoding="utf-8"?>
<w:styles xmlns:w="http://schemas.openxmlformats.org/wordprocessingml/2006/main">
  <w:style w:styleId="style0" w:type="paragraph">
    <w:name w:val="Normal"/>
    <w:next w:val="style0"/>
    <w:pPr>
      <w:widowControl/>
      <w:tabs>
        <w:tab w:leader="none" w:pos="720" w:val="left"/>
      </w:tabs>
      <w:suppressAutoHyphens w:val="true"/>
      <w:spacing w:after="200" w:before="0" w:line="276" w:lineRule="auto"/>
    </w:pPr>
    <w:rPr>
      <w:rFonts w:ascii="Helvetica World" w:cs="Helvetica World" w:eastAsia="Calibri" w:hAnsi="Helvetica World"/>
      <w:color w:val="000000"/>
      <w:sz w:val="24"/>
      <w:szCs w:val="24"/>
      <w:lang w:bidi="ar-SA" w:eastAsia="en-US" w:val="en-US"/>
    </w:rPr>
  </w:style>
  <w:style w:styleId="style1" w:type="paragraph">
    <w:name w:val="Heading 1"/>
    <w:basedOn w:val="style25"/>
    <w:next w:val="style26"/>
    <w:pPr>
      <w:numPr>
        <w:ilvl w:val="0"/>
        <w:numId w:val="1"/>
      </w:numPr>
      <w:outlineLvl w:val="0"/>
    </w:pPr>
    <w:rPr>
      <w:b/>
      <w:bCs/>
      <w:sz w:val="32"/>
      <w:szCs w:val="32"/>
    </w:rPr>
  </w:style>
  <w:style w:styleId="style15" w:type="character">
    <w:name w:val="Default Paragraph Font"/>
    <w:next w:val="style15"/>
    <w:rPr/>
  </w:style>
  <w:style w:styleId="style16" w:type="character">
    <w:name w:val="Internet Link"/>
    <w:basedOn w:val="style15"/>
    <w:next w:val="style16"/>
    <w:rPr>
      <w:rFonts w:cs="Times New Roman"/>
      <w:color w:val="0000FF"/>
      <w:u w:val="single"/>
      <w:lang w:bidi="en-US" w:eastAsia="en-US" w:val="en-US"/>
    </w:rPr>
  </w:style>
  <w:style w:styleId="style17" w:type="character">
    <w:name w:val="FollowedHyperlink"/>
    <w:basedOn w:val="style15"/>
    <w:next w:val="style17"/>
    <w:rPr>
      <w:rFonts w:cs="Times New Roman"/>
      <w:color w:val="800080"/>
      <w:u w:val="single"/>
    </w:rPr>
  </w:style>
  <w:style w:styleId="style18" w:type="character">
    <w:name w:val="Balloon Text Char"/>
    <w:basedOn w:val="style15"/>
    <w:next w:val="style18"/>
    <w:rPr>
      <w:rFonts w:ascii="Tahoma" w:cs="Tahoma" w:hAnsi="Tahoma"/>
      <w:sz w:val="16"/>
      <w:szCs w:val="16"/>
    </w:rPr>
  </w:style>
  <w:style w:styleId="style19" w:type="character">
    <w:name w:val="Strong Emphasis"/>
    <w:basedOn w:val="style15"/>
    <w:next w:val="style19"/>
    <w:rPr>
      <w:rFonts w:cs="Times New Roman"/>
      <w:b/>
      <w:bCs/>
    </w:rPr>
  </w:style>
  <w:style w:styleId="style20" w:type="character">
    <w:name w:val="bold"/>
    <w:basedOn w:val="style15"/>
    <w:next w:val="style20"/>
    <w:rPr>
      <w:rFonts w:cs="Times New Roman"/>
    </w:rPr>
  </w:style>
  <w:style w:styleId="style21" w:type="character">
    <w:name w:val="Header Char"/>
    <w:basedOn w:val="style15"/>
    <w:next w:val="style21"/>
    <w:rPr/>
  </w:style>
  <w:style w:styleId="style22" w:type="character">
    <w:name w:val="Footer Char"/>
    <w:basedOn w:val="style15"/>
    <w:next w:val="style22"/>
    <w:rPr/>
  </w:style>
  <w:style w:styleId="style23" w:type="character">
    <w:name w:val="ListLabel 1"/>
    <w:next w:val="style23"/>
    <w:rPr>
      <w:rFonts w:cs="Times New Roman"/>
    </w:rPr>
  </w:style>
  <w:style w:styleId="style24" w:type="character">
    <w:name w:val="Bullets"/>
    <w:next w:val="style24"/>
    <w:rPr>
      <w:rFonts w:ascii="OpenSymbol" w:cs="OpenSymbol" w:eastAsia="OpenSymbol" w:hAnsi="OpenSymbol"/>
    </w:rPr>
  </w:style>
  <w:style w:styleId="style25" w:type="paragraph">
    <w:name w:val="Heading"/>
    <w:basedOn w:val="style0"/>
    <w:next w:val="style26"/>
    <w:pPr>
      <w:keepNext/>
      <w:spacing w:after="120" w:before="240"/>
    </w:pPr>
    <w:rPr>
      <w:rFonts w:ascii="Liberation Sans" w:cs="Lohit Hindi" w:eastAsia="WenQuanYi Zen Hei" w:hAnsi="Liberation Sans"/>
      <w:sz w:val="28"/>
      <w:szCs w:val="28"/>
    </w:rPr>
  </w:style>
  <w:style w:styleId="style26" w:type="paragraph">
    <w:name w:val="Text body"/>
    <w:basedOn w:val="style0"/>
    <w:next w:val="style26"/>
    <w:pPr>
      <w:spacing w:after="120" w:before="0"/>
    </w:pPr>
    <w:rPr/>
  </w:style>
  <w:style w:styleId="style27" w:type="paragraph">
    <w:name w:val="List"/>
    <w:basedOn w:val="style26"/>
    <w:next w:val="style27"/>
    <w:pPr/>
    <w:rPr>
      <w:rFonts w:cs="Lohit Hindi"/>
    </w:rPr>
  </w:style>
  <w:style w:styleId="style28" w:type="paragraph">
    <w:name w:val="Caption"/>
    <w:basedOn w:val="style0"/>
    <w:next w:val="style28"/>
    <w:pPr>
      <w:suppressLineNumbers/>
      <w:spacing w:after="120" w:before="120"/>
    </w:pPr>
    <w:rPr>
      <w:rFonts w:cs="Lohit Hindi"/>
      <w:i/>
      <w:iCs/>
      <w:sz w:val="24"/>
      <w:szCs w:val="24"/>
    </w:rPr>
  </w:style>
  <w:style w:styleId="style29" w:type="paragraph">
    <w:name w:val="Index"/>
    <w:basedOn w:val="style0"/>
    <w:next w:val="style29"/>
    <w:pPr>
      <w:suppressLineNumbers/>
    </w:pPr>
    <w:rPr>
      <w:rFonts w:cs="Lohit Hindi"/>
    </w:rPr>
  </w:style>
  <w:style w:styleId="style30" w:type="paragraph">
    <w:name w:val="List Paragraph"/>
    <w:basedOn w:val="style0"/>
    <w:next w:val="style30"/>
    <w:pPr>
      <w:ind w:hanging="0" w:left="720" w:right="0"/>
    </w:pPr>
    <w:rPr/>
  </w:style>
  <w:style w:styleId="style31" w:type="paragraph">
    <w:name w:val="Balloon Text"/>
    <w:basedOn w:val="style0"/>
    <w:next w:val="style31"/>
    <w:pPr>
      <w:spacing w:after="0" w:before="0" w:line="100" w:lineRule="atLeast"/>
    </w:pPr>
    <w:rPr>
      <w:rFonts w:ascii="Tahoma" w:cs="Tahoma" w:hAnsi="Tahoma"/>
      <w:sz w:val="16"/>
      <w:szCs w:val="16"/>
    </w:rPr>
  </w:style>
  <w:style w:styleId="style32" w:type="paragraph">
    <w:name w:val="Normal (Web)"/>
    <w:basedOn w:val="style0"/>
    <w:next w:val="style32"/>
    <w:pPr>
      <w:spacing w:after="28" w:before="28" w:line="100" w:lineRule="atLeast"/>
    </w:pPr>
    <w:rPr>
      <w:rFonts w:ascii="Times New Roman" w:hAnsi="Times New Roman"/>
      <w:sz w:val="24"/>
      <w:szCs w:val="24"/>
    </w:rPr>
  </w:style>
  <w:style w:styleId="style33" w:type="paragraph">
    <w:name w:val="Header"/>
    <w:basedOn w:val="style0"/>
    <w:next w:val="style33"/>
    <w:pPr>
      <w:suppressLineNumbers/>
      <w:tabs>
        <w:tab w:leader="none" w:pos="4680" w:val="center"/>
        <w:tab w:leader="none" w:pos="9360" w:val="right"/>
      </w:tabs>
      <w:spacing w:after="0" w:before="0" w:line="100" w:lineRule="atLeast"/>
    </w:pPr>
    <w:rPr/>
  </w:style>
  <w:style w:styleId="style34" w:type="paragraph">
    <w:name w:val="Footer"/>
    <w:basedOn w:val="style0"/>
    <w:next w:val="style34"/>
    <w:pPr>
      <w:suppressLineNumbers/>
      <w:tabs>
        <w:tab w:leader="none" w:pos="4680" w:val="center"/>
        <w:tab w:leader="none" w:pos="9360" w:val="right"/>
      </w:tabs>
      <w:spacing w:after="0" w:before="0" w:line="100" w:lineRule="atLeas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irs.gov/uac/american-opportunity-tax-credit-questions-and-answers" TargetMode="External"/><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19</TotalTime>
  <Application>LibreOffice/3.5$Linux_X86_64 LibreOffice_project/7122e39-92ed229-498d286-15e43b4-d70da21</Applicat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erms:created xsi:type="dcterms:W3CDTF">2018-01-23T13:09:00.00Z</dcterms:created>
  <dc:creator>John Kozlowski</dc:creator>
  <cp:lastModifiedBy>John Kozlowski</cp:lastModifiedBy>
  <cp:lastPrinted>2012-02-12T09:33:00.00Z</cp:lastPrinted>
  <dcterms:modified xsi:type="dcterms:W3CDTF">2018-01-23T13:28:00.00Z</dcterms:modified>
  <cp:revision>3</cp:revision>
  <dc:title>Extracted from and based largely on Pub 17 2013, Pub 970 2012 and Navigating the Form 1098-T Tuition Statement: Inconsistencies in Reporting: http://www</dc:title>
</cp:coreProperties>
</file>